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49" w:rsidRPr="003D79B7" w:rsidRDefault="003D79B7" w:rsidP="003D79B7">
      <w:pPr>
        <w:spacing w:after="0"/>
        <w:jc w:val="center"/>
        <w:rPr>
          <w:b/>
        </w:rPr>
      </w:pPr>
      <w:r w:rsidRPr="003D79B7">
        <w:rPr>
          <w:b/>
        </w:rPr>
        <w:t>Analysis of DNAs – Gosforth Valley</w:t>
      </w:r>
    </w:p>
    <w:p w:rsidR="003D79B7" w:rsidRPr="003D79B7" w:rsidRDefault="003D79B7" w:rsidP="003D79B7">
      <w:pPr>
        <w:jc w:val="center"/>
        <w:rPr>
          <w:b/>
        </w:rPr>
      </w:pPr>
      <w:r w:rsidRPr="003D79B7">
        <w:rPr>
          <w:b/>
        </w:rPr>
        <w:t>April 2018</w:t>
      </w:r>
    </w:p>
    <w:p w:rsidR="003D79B7" w:rsidRPr="00AF209B" w:rsidRDefault="003D79B7">
      <w:pPr>
        <w:rPr>
          <w:b/>
        </w:rPr>
      </w:pPr>
      <w:r w:rsidRPr="00AF209B">
        <w:rPr>
          <w:b/>
        </w:rPr>
        <w:t>Monthly DNAs</w:t>
      </w:r>
    </w:p>
    <w:tbl>
      <w:tblPr>
        <w:tblStyle w:val="TableGrid"/>
        <w:tblW w:w="0" w:type="auto"/>
        <w:tblLook w:val="04A0" w:firstRow="1" w:lastRow="0" w:firstColumn="1" w:lastColumn="0" w:noHBand="0" w:noVBand="1"/>
      </w:tblPr>
      <w:tblGrid>
        <w:gridCol w:w="1951"/>
        <w:gridCol w:w="1134"/>
      </w:tblGrid>
      <w:tr w:rsidR="003D79B7" w:rsidTr="003D79B7">
        <w:tc>
          <w:tcPr>
            <w:tcW w:w="1951" w:type="dxa"/>
          </w:tcPr>
          <w:p w:rsidR="003D79B7" w:rsidRDefault="003D79B7">
            <w:r>
              <w:t>December 2017</w:t>
            </w:r>
          </w:p>
        </w:tc>
        <w:tc>
          <w:tcPr>
            <w:tcW w:w="1134" w:type="dxa"/>
          </w:tcPr>
          <w:p w:rsidR="003D79B7" w:rsidRDefault="003D79B7">
            <w:r>
              <w:t>68</w:t>
            </w:r>
          </w:p>
        </w:tc>
      </w:tr>
      <w:tr w:rsidR="003D79B7" w:rsidTr="003D79B7">
        <w:tc>
          <w:tcPr>
            <w:tcW w:w="1951" w:type="dxa"/>
          </w:tcPr>
          <w:p w:rsidR="003D79B7" w:rsidRDefault="003D79B7">
            <w:r>
              <w:t>January 2018</w:t>
            </w:r>
          </w:p>
        </w:tc>
        <w:tc>
          <w:tcPr>
            <w:tcW w:w="1134" w:type="dxa"/>
          </w:tcPr>
          <w:p w:rsidR="003D79B7" w:rsidRDefault="003D79B7">
            <w:r>
              <w:t>65</w:t>
            </w:r>
          </w:p>
        </w:tc>
      </w:tr>
      <w:tr w:rsidR="003D79B7" w:rsidTr="003D79B7">
        <w:tc>
          <w:tcPr>
            <w:tcW w:w="1951" w:type="dxa"/>
          </w:tcPr>
          <w:p w:rsidR="003D79B7" w:rsidRDefault="003D79B7">
            <w:r>
              <w:t>February 2018</w:t>
            </w:r>
          </w:p>
        </w:tc>
        <w:tc>
          <w:tcPr>
            <w:tcW w:w="1134" w:type="dxa"/>
          </w:tcPr>
          <w:p w:rsidR="003D79B7" w:rsidRDefault="003D79B7">
            <w:r>
              <w:t>56</w:t>
            </w:r>
          </w:p>
        </w:tc>
      </w:tr>
      <w:tr w:rsidR="003D79B7" w:rsidTr="003D79B7">
        <w:tc>
          <w:tcPr>
            <w:tcW w:w="1951" w:type="dxa"/>
          </w:tcPr>
          <w:p w:rsidR="003D79B7" w:rsidRDefault="003D79B7">
            <w:r>
              <w:t>March 2018</w:t>
            </w:r>
          </w:p>
        </w:tc>
        <w:tc>
          <w:tcPr>
            <w:tcW w:w="1134" w:type="dxa"/>
          </w:tcPr>
          <w:p w:rsidR="003D79B7" w:rsidRDefault="003D79B7">
            <w:r>
              <w:t>56</w:t>
            </w:r>
          </w:p>
        </w:tc>
      </w:tr>
      <w:tr w:rsidR="003D79B7" w:rsidTr="003D79B7">
        <w:tc>
          <w:tcPr>
            <w:tcW w:w="1951" w:type="dxa"/>
          </w:tcPr>
          <w:p w:rsidR="003D79B7" w:rsidRDefault="003D79B7">
            <w:r>
              <w:t>Total</w:t>
            </w:r>
          </w:p>
        </w:tc>
        <w:tc>
          <w:tcPr>
            <w:tcW w:w="1134" w:type="dxa"/>
          </w:tcPr>
          <w:p w:rsidR="003D79B7" w:rsidRDefault="003D79B7">
            <w:r>
              <w:t>245</w:t>
            </w:r>
          </w:p>
        </w:tc>
      </w:tr>
    </w:tbl>
    <w:p w:rsidR="003D79B7" w:rsidRDefault="003D79B7"/>
    <w:p w:rsidR="003D79B7" w:rsidRDefault="003D79B7" w:rsidP="003D79B7">
      <w:pPr>
        <w:spacing w:after="0"/>
      </w:pPr>
      <w:r>
        <w:t>Notes:</w:t>
      </w:r>
    </w:p>
    <w:p w:rsidR="00AF209B" w:rsidRDefault="00AF209B" w:rsidP="00AF209B">
      <w:pPr>
        <w:spacing w:after="0"/>
      </w:pPr>
      <w:r>
        <w:t>DNAs due to snow have been excluded</w:t>
      </w:r>
    </w:p>
    <w:p w:rsidR="00AF209B" w:rsidRDefault="00AF209B" w:rsidP="00AF209B">
      <w:pPr>
        <w:spacing w:after="0"/>
      </w:pPr>
      <w:r>
        <w:t xml:space="preserve">Includes all practice DNAs (including those that arrived late, but were already </w:t>
      </w:r>
      <w:proofErr w:type="spellStart"/>
      <w:r>
        <w:t>DNAd</w:t>
      </w:r>
      <w:proofErr w:type="spellEnd"/>
      <w:r>
        <w:t xml:space="preserve"> and were eventually seen).</w:t>
      </w:r>
    </w:p>
    <w:p w:rsidR="00AF209B" w:rsidRDefault="00AF209B" w:rsidP="00AF209B">
      <w:pPr>
        <w:spacing w:after="0"/>
      </w:pPr>
    </w:p>
    <w:p w:rsidR="003D79B7" w:rsidRPr="00AF209B" w:rsidRDefault="003D79B7">
      <w:pPr>
        <w:rPr>
          <w:b/>
        </w:rPr>
      </w:pPr>
      <w:r w:rsidRPr="00AF209B">
        <w:rPr>
          <w:b/>
        </w:rPr>
        <w:t>DNAs by occurrence</w:t>
      </w:r>
    </w:p>
    <w:tbl>
      <w:tblPr>
        <w:tblStyle w:val="TableGrid"/>
        <w:tblW w:w="0" w:type="auto"/>
        <w:tblLook w:val="04A0" w:firstRow="1" w:lastRow="0" w:firstColumn="1" w:lastColumn="0" w:noHBand="0" w:noVBand="1"/>
      </w:tblPr>
      <w:tblGrid>
        <w:gridCol w:w="1242"/>
        <w:gridCol w:w="1276"/>
      </w:tblGrid>
      <w:tr w:rsidR="003D79B7" w:rsidTr="003D79B7">
        <w:tc>
          <w:tcPr>
            <w:tcW w:w="1242" w:type="dxa"/>
          </w:tcPr>
          <w:p w:rsidR="003D79B7" w:rsidRDefault="003D79B7">
            <w:r>
              <w:t>1</w:t>
            </w:r>
          </w:p>
        </w:tc>
        <w:tc>
          <w:tcPr>
            <w:tcW w:w="1276" w:type="dxa"/>
          </w:tcPr>
          <w:p w:rsidR="003D79B7" w:rsidRDefault="003D79B7" w:rsidP="003D79B7">
            <w:r>
              <w:t>156</w:t>
            </w:r>
          </w:p>
        </w:tc>
      </w:tr>
      <w:tr w:rsidR="003D79B7" w:rsidTr="003D79B7">
        <w:tc>
          <w:tcPr>
            <w:tcW w:w="1242" w:type="dxa"/>
          </w:tcPr>
          <w:p w:rsidR="003D79B7" w:rsidRDefault="003D79B7">
            <w:r>
              <w:t>2</w:t>
            </w:r>
          </w:p>
        </w:tc>
        <w:tc>
          <w:tcPr>
            <w:tcW w:w="1276" w:type="dxa"/>
          </w:tcPr>
          <w:p w:rsidR="003D79B7" w:rsidRDefault="003D79B7">
            <w:r>
              <w:t>28</w:t>
            </w:r>
          </w:p>
        </w:tc>
      </w:tr>
      <w:tr w:rsidR="003D79B7" w:rsidTr="003D79B7">
        <w:tc>
          <w:tcPr>
            <w:tcW w:w="1242" w:type="dxa"/>
          </w:tcPr>
          <w:p w:rsidR="003D79B7" w:rsidRDefault="003D79B7">
            <w:r>
              <w:t>3</w:t>
            </w:r>
          </w:p>
        </w:tc>
        <w:tc>
          <w:tcPr>
            <w:tcW w:w="1276" w:type="dxa"/>
          </w:tcPr>
          <w:p w:rsidR="003D79B7" w:rsidRDefault="003D79B7">
            <w:r>
              <w:t>4</w:t>
            </w:r>
          </w:p>
        </w:tc>
      </w:tr>
      <w:tr w:rsidR="003D79B7" w:rsidTr="003D79B7">
        <w:tc>
          <w:tcPr>
            <w:tcW w:w="1242" w:type="dxa"/>
          </w:tcPr>
          <w:p w:rsidR="003D79B7" w:rsidRDefault="003D79B7">
            <w:r>
              <w:t>4</w:t>
            </w:r>
          </w:p>
        </w:tc>
        <w:tc>
          <w:tcPr>
            <w:tcW w:w="1276" w:type="dxa"/>
          </w:tcPr>
          <w:p w:rsidR="003D79B7" w:rsidRDefault="003D79B7">
            <w:r>
              <w:t>4</w:t>
            </w:r>
          </w:p>
        </w:tc>
      </w:tr>
      <w:tr w:rsidR="003D79B7" w:rsidTr="003D79B7">
        <w:tc>
          <w:tcPr>
            <w:tcW w:w="1242" w:type="dxa"/>
          </w:tcPr>
          <w:p w:rsidR="003D79B7" w:rsidRDefault="003D79B7">
            <w:r>
              <w:t>5</w:t>
            </w:r>
          </w:p>
        </w:tc>
        <w:tc>
          <w:tcPr>
            <w:tcW w:w="1276" w:type="dxa"/>
          </w:tcPr>
          <w:p w:rsidR="003D79B7" w:rsidRDefault="003D79B7">
            <w:r>
              <w:t>2</w:t>
            </w:r>
          </w:p>
        </w:tc>
      </w:tr>
      <w:tr w:rsidR="003D79B7" w:rsidTr="003D79B7">
        <w:tc>
          <w:tcPr>
            <w:tcW w:w="1242" w:type="dxa"/>
          </w:tcPr>
          <w:p w:rsidR="003D79B7" w:rsidRDefault="003D79B7">
            <w:r>
              <w:t>Total</w:t>
            </w:r>
          </w:p>
        </w:tc>
        <w:tc>
          <w:tcPr>
            <w:tcW w:w="1276" w:type="dxa"/>
          </w:tcPr>
          <w:p w:rsidR="003D79B7" w:rsidRDefault="003D79B7" w:rsidP="003D79B7">
            <w:r>
              <w:t>194</w:t>
            </w:r>
          </w:p>
        </w:tc>
      </w:tr>
    </w:tbl>
    <w:p w:rsidR="003D79B7" w:rsidRDefault="003D79B7"/>
    <w:p w:rsidR="00AF209B" w:rsidRDefault="003D79B7" w:rsidP="00AF209B">
      <w:pPr>
        <w:spacing w:after="0"/>
      </w:pPr>
      <w:r>
        <w:t>Notes:</w:t>
      </w:r>
    </w:p>
    <w:p w:rsidR="00AF209B" w:rsidRDefault="00AF209B" w:rsidP="00AF209B">
      <w:pPr>
        <w:spacing w:after="0"/>
      </w:pPr>
      <w:r>
        <w:t>Includes only patients who were sent a letter (see note 3 below).</w:t>
      </w:r>
    </w:p>
    <w:p w:rsidR="00AF209B" w:rsidRDefault="00AF209B" w:rsidP="00AF209B">
      <w:pPr>
        <w:spacing w:after="0"/>
      </w:pPr>
      <w:r>
        <w:t>First two weeks of December excluded.</w:t>
      </w:r>
    </w:p>
    <w:p w:rsidR="00AF209B" w:rsidRDefault="00AF209B" w:rsidP="00AF209B">
      <w:pPr>
        <w:spacing w:after="0"/>
      </w:pPr>
    </w:p>
    <w:p w:rsidR="003D79B7" w:rsidRPr="00AF209B" w:rsidRDefault="003D79B7">
      <w:pPr>
        <w:rPr>
          <w:b/>
        </w:rPr>
      </w:pPr>
      <w:r w:rsidRPr="00AF209B">
        <w:rPr>
          <w:b/>
        </w:rPr>
        <w:t>Observations:</w:t>
      </w:r>
    </w:p>
    <w:p w:rsidR="00AF209B" w:rsidRDefault="003D79B7" w:rsidP="00AF209B">
      <w:pPr>
        <w:pStyle w:val="ListParagraph"/>
        <w:numPr>
          <w:ilvl w:val="0"/>
          <w:numId w:val="1"/>
        </w:numPr>
      </w:pPr>
      <w:r>
        <w:t>Small decline, but</w:t>
      </w:r>
      <w:r w:rsidR="00AF209B">
        <w:t xml:space="preserve"> is this just natural variation?</w:t>
      </w:r>
    </w:p>
    <w:p w:rsidR="003D79B7" w:rsidRDefault="003D79B7" w:rsidP="00AF209B">
      <w:pPr>
        <w:pStyle w:val="ListParagraph"/>
        <w:numPr>
          <w:ilvl w:val="0"/>
          <w:numId w:val="1"/>
        </w:numPr>
      </w:pPr>
      <w:r>
        <w:t>Receipt of a letter doesn’t have any impact on those who most frequently DNA.</w:t>
      </w:r>
    </w:p>
    <w:p w:rsidR="003D79B7" w:rsidRDefault="003D79B7" w:rsidP="00AF209B">
      <w:pPr>
        <w:pStyle w:val="ListParagraph"/>
        <w:numPr>
          <w:ilvl w:val="0"/>
          <w:numId w:val="1"/>
        </w:numPr>
      </w:pPr>
      <w:r>
        <w:t>Sending letters is time consuming as we need to first check for hospital DNAs (these are also coded), those who may have apologised (we edit the letters for these), and those who were fitted in because they arrived late (but had already been coded as a DNA). It takes about an hour and a half per week to send the letters.</w:t>
      </w:r>
    </w:p>
    <w:p w:rsidR="003D79B7" w:rsidRDefault="003D79B7" w:rsidP="00AF209B">
      <w:pPr>
        <w:pStyle w:val="ListParagraph"/>
        <w:numPr>
          <w:ilvl w:val="0"/>
          <w:numId w:val="1"/>
        </w:numPr>
      </w:pPr>
      <w:r>
        <w:t>A significant amount of time is also invested talking to patients who call to complain as a result of receiving a letter (most common comment is “anyone can make a mistake”). Most patients are more understanding of the issue at the end of the call.</w:t>
      </w:r>
    </w:p>
    <w:p w:rsidR="003D79B7" w:rsidRPr="00AF209B" w:rsidRDefault="003D79B7">
      <w:pPr>
        <w:rPr>
          <w:b/>
        </w:rPr>
      </w:pPr>
      <w:r w:rsidRPr="00AF209B">
        <w:rPr>
          <w:b/>
        </w:rPr>
        <w:t>Concerns:</w:t>
      </w:r>
    </w:p>
    <w:p w:rsidR="003D79B7" w:rsidRDefault="003D79B7">
      <w:r>
        <w:t>This would be a full day’s work per week for one person at Moss Valley; we do not have sufficient capacity for this.</w:t>
      </w:r>
    </w:p>
    <w:p w:rsidR="003D79B7" w:rsidRDefault="003D79B7">
      <w:r>
        <w:t xml:space="preserve">Is it really making any difference; is </w:t>
      </w:r>
      <w:r w:rsidR="00AF209B">
        <w:t>it worth the investment of time; too early to tell?</w:t>
      </w:r>
    </w:p>
    <w:p w:rsidR="003D79B7" w:rsidRPr="00AF209B" w:rsidRDefault="003D79B7" w:rsidP="003D79B7">
      <w:pPr>
        <w:rPr>
          <w:b/>
        </w:rPr>
      </w:pPr>
      <w:r w:rsidRPr="00AF209B">
        <w:rPr>
          <w:b/>
        </w:rPr>
        <w:lastRenderedPageBreak/>
        <w:t>Possible options:</w:t>
      </w:r>
    </w:p>
    <w:p w:rsidR="003D79B7" w:rsidRDefault="003D79B7" w:rsidP="003D79B7">
      <w:r>
        <w:t>Continue process at Gosforth Valley to see if we can achieve a sustained decrease in the number of DNAs.</w:t>
      </w:r>
    </w:p>
    <w:p w:rsidR="003D79B7" w:rsidRDefault="000C066F" w:rsidP="003D79B7">
      <w:r>
        <w:t xml:space="preserve">Send more formal / stronger letter &amp; possibly meet up with some or all of the 10 patients who have </w:t>
      </w:r>
      <w:proofErr w:type="spellStart"/>
      <w:r>
        <w:t>DNA’d</w:t>
      </w:r>
      <w:proofErr w:type="spellEnd"/>
      <w:r>
        <w:t xml:space="preserve"> 3 times or more in the last 4 months.</w:t>
      </w:r>
      <w:bookmarkStart w:id="0" w:name="_GoBack"/>
      <w:bookmarkEnd w:id="0"/>
    </w:p>
    <w:p w:rsidR="003D79B7" w:rsidRDefault="003D79B7"/>
    <w:sectPr w:rsidR="003D7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7476"/>
    <w:multiLevelType w:val="hybridMultilevel"/>
    <w:tmpl w:val="31084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B7"/>
    <w:rsid w:val="000C066F"/>
    <w:rsid w:val="003D79B7"/>
    <w:rsid w:val="00430F49"/>
    <w:rsid w:val="00AF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3</cp:revision>
  <dcterms:created xsi:type="dcterms:W3CDTF">2018-04-10T10:20:00Z</dcterms:created>
  <dcterms:modified xsi:type="dcterms:W3CDTF">2018-04-13T10:17:00Z</dcterms:modified>
</cp:coreProperties>
</file>